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6BF253E2" w:rsidR="00DD29C3" w:rsidRPr="00B37834" w:rsidRDefault="000262B4" w:rsidP="00DD29C3">
      <w:pPr>
        <w:spacing w:before="120" w:line="240" w:lineRule="auto"/>
        <w:jc w:val="both"/>
        <w:rPr>
          <w:rFonts w:eastAsia="Times New Roman" w:cs="Times New Roman"/>
          <w:lang w:eastAsia="cs-CZ"/>
        </w:rPr>
      </w:pPr>
      <w:r w:rsidRPr="00B37834">
        <w:rPr>
          <w:rFonts w:eastAsia="Times New Roman" w:cs="Times New Roman"/>
          <w:lang w:eastAsia="cs-CZ"/>
        </w:rPr>
        <w:t xml:space="preserve">Příloha </w:t>
      </w:r>
      <w:r w:rsidR="00185652" w:rsidRPr="00B37834">
        <w:rPr>
          <w:rFonts w:eastAsia="Times New Roman" w:cs="Times New Roman"/>
          <w:lang w:eastAsia="cs-CZ"/>
        </w:rPr>
        <w:t xml:space="preserve">č. </w:t>
      </w:r>
      <w:r w:rsidR="009841FC" w:rsidRPr="00B37834">
        <w:rPr>
          <w:rFonts w:eastAsia="Times New Roman" w:cs="Times New Roman"/>
          <w:lang w:eastAsia="cs-CZ"/>
        </w:rPr>
        <w:t>1</w:t>
      </w:r>
      <w:r w:rsidR="00185652" w:rsidRPr="00B37834">
        <w:rPr>
          <w:rFonts w:eastAsia="Times New Roman" w:cs="Times New Roman"/>
          <w:lang w:eastAsia="cs-CZ"/>
        </w:rPr>
        <w:t xml:space="preserve"> </w:t>
      </w:r>
      <w:r w:rsidR="00EF4199" w:rsidRPr="00B37834">
        <w:rPr>
          <w:rFonts w:eastAsia="Times New Roman" w:cs="Times New Roman"/>
          <w:lang w:eastAsia="cs-CZ"/>
        </w:rPr>
        <w:t xml:space="preserve">Smlouvy </w:t>
      </w:r>
    </w:p>
    <w:p w14:paraId="3D7DE7D8" w14:textId="32EAEEB4" w:rsidR="00DD29C3" w:rsidRPr="00B37834" w:rsidRDefault="00185652" w:rsidP="00185652">
      <w:pPr>
        <w:pStyle w:val="Nadpis1"/>
        <w:rPr>
          <w:rFonts w:asciiTheme="minorHAnsi" w:eastAsia="Times New Roman" w:hAnsiTheme="minorHAnsi"/>
          <w:lang w:eastAsia="cs-CZ"/>
        </w:rPr>
      </w:pPr>
      <w:r w:rsidRPr="00B37834">
        <w:rPr>
          <w:rFonts w:asciiTheme="minorHAnsi" w:eastAsia="Times New Roman" w:hAnsiTheme="minorHAnsi"/>
          <w:lang w:eastAsia="cs-CZ"/>
        </w:rPr>
        <w:t>Bližší specifikace</w:t>
      </w:r>
    </w:p>
    <w:p w14:paraId="3622A590" w14:textId="7954D160" w:rsidR="00185652" w:rsidRPr="009302F8" w:rsidRDefault="00B37834" w:rsidP="009302F8">
      <w:pPr>
        <w:spacing w:after="120" w:line="276" w:lineRule="auto"/>
        <w:jc w:val="both"/>
        <w:rPr>
          <w:rFonts w:eastAsia="Calibri" w:cs="Arial"/>
          <w:b/>
          <w:bCs/>
          <w:color w:val="auto"/>
        </w:rPr>
      </w:pPr>
      <w:r w:rsidRPr="009302F8">
        <w:rPr>
          <w:rFonts w:eastAsia="Calibri" w:cs="Arial"/>
          <w:b/>
          <w:bCs/>
          <w:color w:val="auto"/>
        </w:rPr>
        <w:t xml:space="preserve">Zhotovitel provede v rámci zhotovení Díla pro Objednatele </w:t>
      </w:r>
      <w:r w:rsidR="009302F8" w:rsidRPr="009302F8">
        <w:rPr>
          <w:rFonts w:eastAsia="Calibri" w:cs="Arial"/>
          <w:b/>
          <w:bCs/>
          <w:color w:val="auto"/>
        </w:rPr>
        <w:t xml:space="preserve">zejména </w:t>
      </w:r>
      <w:r w:rsidRPr="009302F8">
        <w:rPr>
          <w:rFonts w:eastAsia="Calibri" w:cs="Arial"/>
          <w:b/>
          <w:bCs/>
          <w:color w:val="auto"/>
        </w:rPr>
        <w:t>následující činnosti:</w:t>
      </w:r>
    </w:p>
    <w:p w14:paraId="21773194" w14:textId="602A3FC2" w:rsidR="009302F8" w:rsidRPr="009302F8" w:rsidRDefault="009302F8" w:rsidP="009302F8">
      <w:pPr>
        <w:pStyle w:val="pf0"/>
        <w:numPr>
          <w:ilvl w:val="0"/>
          <w:numId w:val="37"/>
        </w:numPr>
        <w:spacing w:before="120" w:beforeAutospacing="0"/>
        <w:rPr>
          <w:rFonts w:asciiTheme="minorHAnsi" w:hAnsiTheme="minorHAnsi" w:cs="Arial"/>
          <w:sz w:val="20"/>
          <w:szCs w:val="20"/>
        </w:rPr>
      </w:pPr>
      <w:r w:rsidRPr="009302F8">
        <w:rPr>
          <w:rStyle w:val="cf01"/>
          <w:rFonts w:asciiTheme="minorHAnsi" w:eastAsiaTheme="majorEastAsia" w:hAnsiTheme="minorHAnsi"/>
        </w:rPr>
        <w:t>zmapování a popis současného stavu pasportních systémů Objednatele a s nimi související infrastruktury SŽ</w:t>
      </w:r>
      <w:r>
        <w:rPr>
          <w:rStyle w:val="cf01"/>
          <w:rFonts w:asciiTheme="minorHAnsi" w:eastAsiaTheme="majorEastAsia" w:hAnsiTheme="minorHAnsi"/>
        </w:rPr>
        <w:t>;</w:t>
      </w:r>
    </w:p>
    <w:p w14:paraId="74B5B009" w14:textId="3CEF44B5" w:rsidR="009302F8" w:rsidRPr="009302F8" w:rsidRDefault="009302F8" w:rsidP="009302F8">
      <w:pPr>
        <w:pStyle w:val="pf0"/>
        <w:numPr>
          <w:ilvl w:val="0"/>
          <w:numId w:val="37"/>
        </w:numPr>
        <w:rPr>
          <w:rFonts w:asciiTheme="minorHAnsi" w:hAnsiTheme="minorHAnsi" w:cs="Arial"/>
          <w:sz w:val="20"/>
          <w:szCs w:val="20"/>
        </w:rPr>
      </w:pPr>
      <w:r w:rsidRPr="009302F8">
        <w:rPr>
          <w:rStyle w:val="cf01"/>
          <w:rFonts w:asciiTheme="minorHAnsi" w:eastAsiaTheme="majorEastAsia" w:hAnsiTheme="minorHAnsi"/>
        </w:rPr>
        <w:t>navrhnout možnosti budoucích technických či funkčních změn pasportů</w:t>
      </w:r>
      <w:r>
        <w:rPr>
          <w:rStyle w:val="cf01"/>
          <w:rFonts w:asciiTheme="minorHAnsi" w:eastAsiaTheme="majorEastAsia" w:hAnsiTheme="minorHAnsi"/>
        </w:rPr>
        <w:t>;</w:t>
      </w:r>
    </w:p>
    <w:p w14:paraId="792F4F17" w14:textId="309AD3F9" w:rsidR="009302F8" w:rsidRPr="009302F8" w:rsidRDefault="009302F8" w:rsidP="009302F8">
      <w:pPr>
        <w:pStyle w:val="pf0"/>
        <w:numPr>
          <w:ilvl w:val="0"/>
          <w:numId w:val="37"/>
        </w:numPr>
        <w:rPr>
          <w:rFonts w:asciiTheme="minorHAnsi" w:hAnsiTheme="minorHAnsi" w:cs="Arial"/>
          <w:sz w:val="20"/>
          <w:szCs w:val="20"/>
        </w:rPr>
      </w:pPr>
      <w:r w:rsidRPr="009302F8">
        <w:rPr>
          <w:rStyle w:val="cf01"/>
          <w:rFonts w:asciiTheme="minorHAnsi" w:eastAsiaTheme="majorEastAsia" w:hAnsiTheme="minorHAnsi"/>
        </w:rPr>
        <w:t>posouzení požadavků metodických odborů Objednatele ve vztahu k možné budoucí podobě pasportních systémů</w:t>
      </w:r>
      <w:r>
        <w:rPr>
          <w:rStyle w:val="cf01"/>
          <w:rFonts w:asciiTheme="minorHAnsi" w:eastAsiaTheme="majorEastAsia" w:hAnsiTheme="minorHAnsi"/>
        </w:rPr>
        <w:t>;</w:t>
      </w:r>
    </w:p>
    <w:p w14:paraId="26FA0F15" w14:textId="04AE3909" w:rsidR="009302F8" w:rsidRPr="009302F8" w:rsidRDefault="009302F8" w:rsidP="009302F8">
      <w:pPr>
        <w:pStyle w:val="pf0"/>
        <w:numPr>
          <w:ilvl w:val="0"/>
          <w:numId w:val="37"/>
        </w:numPr>
        <w:rPr>
          <w:rFonts w:asciiTheme="minorHAnsi" w:hAnsiTheme="minorHAnsi" w:cs="Arial"/>
          <w:sz w:val="20"/>
          <w:szCs w:val="20"/>
        </w:rPr>
      </w:pPr>
      <w:r w:rsidRPr="009302F8">
        <w:rPr>
          <w:rStyle w:val="cf01"/>
          <w:rFonts w:asciiTheme="minorHAnsi" w:eastAsiaTheme="majorEastAsia" w:hAnsiTheme="minorHAnsi"/>
        </w:rPr>
        <w:t>provést zhodnocení nákladů a přínosů navrhovaných změn pasportních systémů</w:t>
      </w:r>
      <w:r>
        <w:rPr>
          <w:rStyle w:val="cf01"/>
          <w:rFonts w:asciiTheme="minorHAnsi" w:eastAsiaTheme="majorEastAsia" w:hAnsiTheme="minorHAnsi"/>
        </w:rPr>
        <w:t>;</w:t>
      </w:r>
    </w:p>
    <w:p w14:paraId="6221577E" w14:textId="7288E60F" w:rsidR="009302F8" w:rsidRPr="009302F8" w:rsidRDefault="009302F8" w:rsidP="009302F8">
      <w:pPr>
        <w:pStyle w:val="pf0"/>
        <w:numPr>
          <w:ilvl w:val="0"/>
          <w:numId w:val="37"/>
        </w:numPr>
        <w:rPr>
          <w:rFonts w:asciiTheme="minorHAnsi" w:hAnsiTheme="minorHAnsi" w:cs="Arial"/>
          <w:sz w:val="20"/>
          <w:szCs w:val="20"/>
        </w:rPr>
      </w:pPr>
      <w:r w:rsidRPr="009302F8">
        <w:rPr>
          <w:rStyle w:val="cf01"/>
          <w:rFonts w:asciiTheme="minorHAnsi" w:eastAsiaTheme="majorEastAsia" w:hAnsiTheme="minorHAnsi"/>
        </w:rPr>
        <w:t xml:space="preserve">při realizaci Díla postupovat v souladu se zásadami projektového řízení formulovanými v příloze č. </w:t>
      </w:r>
      <w:r>
        <w:rPr>
          <w:rStyle w:val="cf01"/>
          <w:rFonts w:asciiTheme="minorHAnsi" w:eastAsiaTheme="majorEastAsia" w:hAnsiTheme="minorHAnsi"/>
        </w:rPr>
        <w:t>2</w:t>
      </w:r>
      <w:r w:rsidRPr="009302F8">
        <w:rPr>
          <w:rStyle w:val="cf01"/>
          <w:rFonts w:asciiTheme="minorHAnsi" w:eastAsiaTheme="majorEastAsia" w:hAnsiTheme="minorHAnsi"/>
        </w:rPr>
        <w:t xml:space="preserve"> Smlouvy</w:t>
      </w:r>
      <w:r>
        <w:rPr>
          <w:rStyle w:val="cf01"/>
          <w:rFonts w:asciiTheme="minorHAnsi" w:eastAsiaTheme="majorEastAsia" w:hAnsiTheme="minorHAnsi"/>
        </w:rPr>
        <w:t>.</w:t>
      </w:r>
      <w:r w:rsidRPr="009302F8">
        <w:rPr>
          <w:rStyle w:val="cf01"/>
          <w:rFonts w:asciiTheme="minorHAnsi" w:eastAsiaTheme="majorEastAsia" w:hAnsiTheme="minorHAnsi"/>
        </w:rPr>
        <w:t xml:space="preserve"> </w:t>
      </w:r>
    </w:p>
    <w:p w14:paraId="172FEDBF" w14:textId="547B3B88" w:rsidR="00B37834" w:rsidRPr="009302F8" w:rsidRDefault="00B37834" w:rsidP="00B37834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eastAsia="Calibri" w:cs="Arial"/>
          <w:b/>
          <w:bCs/>
          <w:color w:val="auto"/>
          <w:sz w:val="20"/>
          <w:szCs w:val="20"/>
        </w:rPr>
      </w:pPr>
      <w:r w:rsidRPr="009302F8">
        <w:rPr>
          <w:rFonts w:eastAsia="Calibri" w:cs="Arial"/>
          <w:b/>
          <w:bCs/>
          <w:color w:val="auto"/>
          <w:sz w:val="20"/>
          <w:szCs w:val="20"/>
        </w:rPr>
        <w:t>...</w:t>
      </w:r>
    </w:p>
    <w:p w14:paraId="3AA1B37A" w14:textId="0B2BF1E2" w:rsidR="006E21B1" w:rsidRPr="000F6604" w:rsidRDefault="006E21B1" w:rsidP="000F6604">
      <w:pPr>
        <w:rPr>
          <w:b/>
          <w:bCs/>
        </w:rPr>
      </w:pPr>
      <w:r w:rsidRPr="000F6604">
        <w:rPr>
          <w:b/>
          <w:bCs/>
        </w:rPr>
        <w:t xml:space="preserve">Provedení </w:t>
      </w:r>
      <w:r w:rsidR="0046162C" w:rsidRPr="000F6604">
        <w:rPr>
          <w:b/>
          <w:bCs/>
        </w:rPr>
        <w:t>D</w:t>
      </w:r>
      <w:r w:rsidRPr="000F6604">
        <w:rPr>
          <w:b/>
          <w:bCs/>
        </w:rPr>
        <w:t xml:space="preserve">íla bude spočívat ve vypracování následujících výstupů: </w:t>
      </w:r>
    </w:p>
    <w:p w14:paraId="1D2945AF" w14:textId="4C136986" w:rsidR="006E21B1" w:rsidRDefault="006E21B1" w:rsidP="000F6604">
      <w:pPr>
        <w:pStyle w:val="aodst"/>
        <w:ind w:left="851"/>
      </w:pPr>
      <w:r w:rsidRPr="0097627C">
        <w:t>Analýza současného stavu</w:t>
      </w:r>
      <w:r>
        <w:t xml:space="preserve"> následujících pasportních systémů (z hlediska funkčních i technologických požadavků)</w:t>
      </w:r>
      <w:r w:rsidR="0046162C">
        <w:t xml:space="preserve"> - 3 výstupní dokumenty:</w:t>
      </w:r>
    </w:p>
    <w:p w14:paraId="3C53F9C1" w14:textId="77777777" w:rsidR="006E21B1" w:rsidRPr="0097627C" w:rsidRDefault="006E21B1" w:rsidP="000F6604">
      <w:pPr>
        <w:pStyle w:val="Odstavecseseznamem"/>
        <w:numPr>
          <w:ilvl w:val="0"/>
          <w:numId w:val="39"/>
        </w:numPr>
        <w:spacing w:before="120" w:after="120"/>
        <w:ind w:left="1560"/>
        <w:jc w:val="both"/>
      </w:pPr>
      <w:r w:rsidRPr="0097627C">
        <w:t>MaT – Mosty a tunely</w:t>
      </w:r>
    </w:p>
    <w:p w14:paraId="7CA13F72" w14:textId="77777777" w:rsidR="006E21B1" w:rsidRPr="0097627C" w:rsidRDefault="006E21B1" w:rsidP="000F6604">
      <w:pPr>
        <w:pStyle w:val="Odstavecseseznamem"/>
        <w:numPr>
          <w:ilvl w:val="0"/>
          <w:numId w:val="39"/>
        </w:numPr>
        <w:spacing w:before="120" w:after="120"/>
        <w:ind w:left="1560"/>
        <w:jc w:val="both"/>
      </w:pPr>
      <w:r w:rsidRPr="0097627C">
        <w:t>ISEE – Systém pro správu elektrotechniky a energetiky</w:t>
      </w:r>
    </w:p>
    <w:p w14:paraId="510BEC8D" w14:textId="77777777" w:rsidR="006E21B1" w:rsidRDefault="006E21B1" w:rsidP="000F6604">
      <w:pPr>
        <w:pStyle w:val="Odstavecseseznamem"/>
        <w:numPr>
          <w:ilvl w:val="0"/>
          <w:numId w:val="39"/>
        </w:numPr>
        <w:spacing w:before="120" w:after="120"/>
        <w:ind w:left="1560"/>
        <w:jc w:val="both"/>
        <w:rPr>
          <w:lang w:eastAsia="cs-CZ"/>
        </w:rPr>
      </w:pPr>
      <w:r w:rsidRPr="0097627C">
        <w:t>PSZT – Pasport sdělovací a zabezpečovací techniky</w:t>
      </w:r>
    </w:p>
    <w:p w14:paraId="53631C65" w14:textId="26693463" w:rsidR="006E21B1" w:rsidRPr="0097627C" w:rsidRDefault="006E21B1" w:rsidP="000F6604">
      <w:pPr>
        <w:pStyle w:val="aodst"/>
        <w:ind w:left="851"/>
      </w:pPr>
      <w:r>
        <w:t>Business a</w:t>
      </w:r>
      <w:r w:rsidRPr="0097627C">
        <w:t xml:space="preserve">nalýza </w:t>
      </w:r>
      <w:r>
        <w:t xml:space="preserve">následujících </w:t>
      </w:r>
      <w:r w:rsidRPr="0097627C">
        <w:t>pasportů</w:t>
      </w:r>
      <w:r w:rsidR="0046162C">
        <w:t xml:space="preserve"> - 3 výstupní dokumenty:</w:t>
      </w:r>
    </w:p>
    <w:p w14:paraId="1C453605" w14:textId="77777777" w:rsidR="006E21B1" w:rsidRPr="0097627C" w:rsidRDefault="006E21B1" w:rsidP="000F6604">
      <w:pPr>
        <w:pStyle w:val="Odstavecseseznamem"/>
        <w:numPr>
          <w:ilvl w:val="0"/>
          <w:numId w:val="39"/>
        </w:numPr>
        <w:spacing w:before="120" w:after="120"/>
        <w:ind w:left="1560"/>
        <w:jc w:val="both"/>
      </w:pPr>
      <w:r w:rsidRPr="0097627C">
        <w:t>MaT – Mosty a tunely</w:t>
      </w:r>
    </w:p>
    <w:p w14:paraId="263623CD" w14:textId="77777777" w:rsidR="006E21B1" w:rsidRPr="0097627C" w:rsidRDefault="006E21B1" w:rsidP="000F6604">
      <w:pPr>
        <w:pStyle w:val="Odstavecseseznamem"/>
        <w:numPr>
          <w:ilvl w:val="0"/>
          <w:numId w:val="39"/>
        </w:numPr>
        <w:spacing w:before="120" w:after="120"/>
        <w:ind w:left="1560"/>
        <w:jc w:val="both"/>
      </w:pPr>
      <w:r w:rsidRPr="0097627C">
        <w:t>ISEE – Systém pro správu elektrotechniky a energetiky</w:t>
      </w:r>
    </w:p>
    <w:p w14:paraId="06083BFA" w14:textId="77777777" w:rsidR="006E21B1" w:rsidRDefault="006E21B1" w:rsidP="000F6604">
      <w:pPr>
        <w:pStyle w:val="Odstavecseseznamem"/>
        <w:numPr>
          <w:ilvl w:val="0"/>
          <w:numId w:val="39"/>
        </w:numPr>
        <w:spacing w:before="120" w:after="120"/>
        <w:ind w:left="1560"/>
        <w:jc w:val="both"/>
        <w:rPr>
          <w:lang w:eastAsia="cs-CZ"/>
        </w:rPr>
      </w:pPr>
      <w:r w:rsidRPr="0097627C">
        <w:t>PSZT – Pasport sdělovací a zabezpečovací techniky</w:t>
      </w:r>
    </w:p>
    <w:p w14:paraId="04F1AAC2" w14:textId="77777777" w:rsidR="006E21B1" w:rsidRPr="00602F32" w:rsidRDefault="006E21B1" w:rsidP="000F6604">
      <w:r w:rsidRPr="00602F32">
        <w:t>Výstupní dokumenty budou vyhotoveny v českém jazyce ve formátu *.docx a *.pdf.</w:t>
      </w:r>
    </w:p>
    <w:p w14:paraId="380835D3" w14:textId="2E77F854" w:rsidR="00185652" w:rsidRPr="000F6604" w:rsidRDefault="00B37834" w:rsidP="00B37834">
      <w:pPr>
        <w:spacing w:after="200" w:line="276" w:lineRule="auto"/>
        <w:jc w:val="both"/>
        <w:rPr>
          <w:rFonts w:eastAsia="Calibri" w:cs="Arial"/>
          <w:b/>
          <w:bCs/>
          <w:color w:val="auto"/>
        </w:rPr>
      </w:pPr>
      <w:r w:rsidRPr="000F6604">
        <w:rPr>
          <w:rStyle w:val="Siln"/>
        </w:rPr>
        <w:t xml:space="preserve">Níže je specifikována požadovaná strukturovaná osnova </w:t>
      </w:r>
      <w:r w:rsidR="00185652" w:rsidRPr="000F6604">
        <w:rPr>
          <w:rStyle w:val="Siln"/>
        </w:rPr>
        <w:t>Business analýz</w:t>
      </w:r>
      <w:r w:rsidRPr="000F6604">
        <w:rPr>
          <w:rStyle w:val="Siln"/>
        </w:rPr>
        <w:t>y</w:t>
      </w:r>
      <w:r w:rsidR="003361D2">
        <w:rPr>
          <w:rStyle w:val="Siln"/>
        </w:rPr>
        <w:t xml:space="preserve"> pro jednotlivé pasportní systémy</w:t>
      </w:r>
      <w:r w:rsidR="000F6604">
        <w:rPr>
          <w:rStyle w:val="Siln"/>
        </w:rPr>
        <w:t>:</w:t>
      </w:r>
      <w:r w:rsidR="00185652" w:rsidRPr="000F6604">
        <w:rPr>
          <w:rFonts w:eastAsia="Calibri" w:cs="Arial"/>
          <w:b/>
          <w:bCs/>
          <w:color w:val="auto"/>
        </w:rPr>
        <w:t xml:space="preserve"> </w:t>
      </w:r>
    </w:p>
    <w:p w14:paraId="29964BE2" w14:textId="77777777" w:rsidR="00185652" w:rsidRPr="000F6604" w:rsidRDefault="00185652" w:rsidP="00B37834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Seznam zkratek</w:t>
      </w:r>
    </w:p>
    <w:p w14:paraId="05E9E0C4" w14:textId="77777777" w:rsidR="00185652" w:rsidRPr="000F6604" w:rsidRDefault="00185652" w:rsidP="00B37834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Úvod</w:t>
      </w:r>
    </w:p>
    <w:p w14:paraId="78607380" w14:textId="038F646A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 xml:space="preserve">Cíl </w:t>
      </w:r>
      <w:r w:rsidR="00E37565" w:rsidRPr="000F6604">
        <w:rPr>
          <w:rFonts w:eastAsia="Calibri" w:cs="Times New Roman"/>
          <w:color w:val="auto"/>
        </w:rPr>
        <w:t>analýzy</w:t>
      </w:r>
    </w:p>
    <w:p w14:paraId="273BED76" w14:textId="7777777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Kontext</w:t>
      </w:r>
    </w:p>
    <w:p w14:paraId="41119A5D" w14:textId="7777777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Definice zainteresovaných subjektů</w:t>
      </w:r>
    </w:p>
    <w:p w14:paraId="5B5BBB19" w14:textId="77777777" w:rsidR="00185652" w:rsidRPr="000F6604" w:rsidRDefault="00185652" w:rsidP="00B37834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Analýza</w:t>
      </w:r>
    </w:p>
    <w:p w14:paraId="69259BB3" w14:textId="45B8461A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 xml:space="preserve">Současný stav Pasportních systémů </w:t>
      </w:r>
      <w:r w:rsidR="005D7B54" w:rsidRPr="000F6604">
        <w:rPr>
          <w:rFonts w:eastAsia="Calibri" w:cs="Times New Roman"/>
          <w:color w:val="auto"/>
        </w:rPr>
        <w:t>(funkční požadavky)</w:t>
      </w:r>
    </w:p>
    <w:p w14:paraId="62D31843" w14:textId="456967C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Současný technologický stav Pasportních systémů</w:t>
      </w:r>
      <w:r w:rsidR="005D7B54" w:rsidRPr="000F6604">
        <w:rPr>
          <w:rFonts w:eastAsia="Calibri" w:cs="Times New Roman"/>
          <w:color w:val="auto"/>
        </w:rPr>
        <w:t xml:space="preserve"> (technologické požadavky)</w:t>
      </w:r>
    </w:p>
    <w:p w14:paraId="5756B44E" w14:textId="7777777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Současný stav infrastruktury SŽ</w:t>
      </w:r>
    </w:p>
    <w:p w14:paraId="344FF8BE" w14:textId="77777777" w:rsidR="00185652" w:rsidRPr="000F6604" w:rsidRDefault="00185652" w:rsidP="00B37834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 xml:space="preserve">Identifikace potřeb </w:t>
      </w:r>
    </w:p>
    <w:p w14:paraId="7B0653C8" w14:textId="7777777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Identifikace potřeb infrastruktury SŽ</w:t>
      </w:r>
    </w:p>
    <w:p w14:paraId="3CC919CA" w14:textId="7777777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Identifikace potřeb Business útvarů SŽ</w:t>
      </w:r>
    </w:p>
    <w:p w14:paraId="09EF3739" w14:textId="77777777" w:rsidR="00185652" w:rsidRPr="000F6604" w:rsidRDefault="00185652" w:rsidP="00B37834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Požadavky na Pasportní systémy</w:t>
      </w:r>
    </w:p>
    <w:p w14:paraId="39263B35" w14:textId="7777777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Technické požadavky</w:t>
      </w:r>
    </w:p>
    <w:p w14:paraId="0ABA2E42" w14:textId="77777777" w:rsidR="00185652" w:rsidRPr="000F6604" w:rsidRDefault="00185652" w:rsidP="00B37834">
      <w:pPr>
        <w:numPr>
          <w:ilvl w:val="1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Funkční požadavky</w:t>
      </w:r>
    </w:p>
    <w:p w14:paraId="238D50D3" w14:textId="77777777" w:rsidR="00185652" w:rsidRPr="000F6604" w:rsidRDefault="00185652" w:rsidP="00B37834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Analýza rizik</w:t>
      </w:r>
    </w:p>
    <w:p w14:paraId="7F6286FD" w14:textId="77777777" w:rsidR="00185652" w:rsidRPr="000F6604" w:rsidRDefault="00185652" w:rsidP="00B37834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Calibri" w:cs="Times New Roman"/>
          <w:b/>
          <w:bCs/>
          <w:color w:val="auto"/>
        </w:rPr>
      </w:pPr>
      <w:r w:rsidRPr="000F6604">
        <w:rPr>
          <w:rFonts w:eastAsia="Calibri" w:cs="Times New Roman"/>
          <w:color w:val="auto"/>
        </w:rPr>
        <w:t>Analýza nákladů a přínosů</w:t>
      </w:r>
    </w:p>
    <w:p w14:paraId="02A38684" w14:textId="258148B1" w:rsidR="009F392E" w:rsidRPr="00B513EC" w:rsidRDefault="00185652" w:rsidP="00421AF1">
      <w:pPr>
        <w:numPr>
          <w:ilvl w:val="0"/>
          <w:numId w:val="35"/>
        </w:numPr>
        <w:spacing w:after="200" w:line="276" w:lineRule="auto"/>
        <w:contextualSpacing/>
        <w:jc w:val="both"/>
        <w:rPr>
          <w:sz w:val="20"/>
          <w:szCs w:val="20"/>
        </w:rPr>
      </w:pPr>
      <w:r w:rsidRPr="00B513EC">
        <w:rPr>
          <w:rFonts w:eastAsia="Calibri" w:cs="Times New Roman"/>
          <w:color w:val="auto"/>
        </w:rPr>
        <w:t xml:space="preserve">Seznam funkčních </w:t>
      </w:r>
      <w:r w:rsidR="00E37565" w:rsidRPr="00B513EC">
        <w:rPr>
          <w:rFonts w:eastAsia="Calibri" w:cs="Times New Roman"/>
          <w:color w:val="auto"/>
        </w:rPr>
        <w:t xml:space="preserve">a </w:t>
      </w:r>
      <w:r w:rsidRPr="00B513EC">
        <w:rPr>
          <w:rFonts w:eastAsia="Calibri" w:cs="Times New Roman"/>
          <w:color w:val="auto"/>
        </w:rPr>
        <w:t>nefunkčních požadavků (zásobník práce včetně prioritizace)</w:t>
      </w:r>
      <w:bookmarkStart w:id="0" w:name="_GoBack"/>
      <w:bookmarkEnd w:id="0"/>
    </w:p>
    <w:sectPr w:rsidR="009F392E" w:rsidRPr="00B513E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374114" w16cex:dateUtc="2024-09-04T13:15:00Z"/>
  <w16cex:commentExtensible w16cex:durableId="285484F1" w16cex:dateUtc="2024-09-10T06:50:00Z"/>
  <w16cex:commentExtensible w16cex:durableId="4707D2D9" w16cex:dateUtc="2024-09-17T14:34:00Z"/>
  <w16cex:commentExtensible w16cex:durableId="76AFD7D1" w16cex:dateUtc="2024-10-07T11:18:00Z"/>
  <w16cex:commentExtensible w16cex:durableId="28A3A2AB" w16cex:dateUtc="2024-10-08T1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57DCF3E" w16cid:durableId="32374114"/>
  <w16cid:commentId w16cid:paraId="16204771" w16cid:durableId="285484F1"/>
  <w16cid:commentId w16cid:paraId="441307CF" w16cid:durableId="4707D2D9"/>
  <w16cid:commentId w16cid:paraId="0835ADB1" w16cid:durableId="76AFD7D1"/>
  <w16cid:commentId w16cid:paraId="7FFADEB6" w16cid:durableId="28A3A2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B4DF1" w14:textId="77777777" w:rsidR="00136E27" w:rsidRDefault="00136E27" w:rsidP="00962258">
      <w:pPr>
        <w:spacing w:after="0" w:line="240" w:lineRule="auto"/>
      </w:pPr>
      <w:r>
        <w:separator/>
      </w:r>
    </w:p>
  </w:endnote>
  <w:endnote w:type="continuationSeparator" w:id="0">
    <w:p w14:paraId="10402BA4" w14:textId="77777777" w:rsidR="00136E27" w:rsidRDefault="00136E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CB34C3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1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1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2835D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CF8EDE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2BBEE2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13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13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60624F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B5628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91739" w14:textId="77777777" w:rsidR="00136E27" w:rsidRDefault="00136E27" w:rsidP="00962258">
      <w:pPr>
        <w:spacing w:after="0" w:line="240" w:lineRule="auto"/>
      </w:pPr>
      <w:r>
        <w:separator/>
      </w:r>
    </w:p>
  </w:footnote>
  <w:footnote w:type="continuationSeparator" w:id="0">
    <w:p w14:paraId="58760B35" w14:textId="77777777" w:rsidR="00136E27" w:rsidRDefault="00136E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B513EC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C10A43"/>
    <w:multiLevelType w:val="hybridMultilevel"/>
    <w:tmpl w:val="BA32C4C4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4298F"/>
    <w:multiLevelType w:val="multilevel"/>
    <w:tmpl w:val="B5A03C30"/>
    <w:lvl w:ilvl="0">
      <w:start w:val="1"/>
      <w:numFmt w:val="decimal"/>
      <w:pStyle w:val="aodst"/>
      <w:lvlText w:val="%1)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ED4894"/>
    <w:multiLevelType w:val="hybridMultilevel"/>
    <w:tmpl w:val="2E68B4BE"/>
    <w:lvl w:ilvl="0" w:tplc="E6029F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5B482031"/>
    <w:multiLevelType w:val="hybridMultilevel"/>
    <w:tmpl w:val="13F4FF80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4FB10C3"/>
    <w:multiLevelType w:val="hybridMultilevel"/>
    <w:tmpl w:val="70BC3770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5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6"/>
  </w:num>
  <w:num w:numId="36">
    <w:abstractNumId w:val="3"/>
  </w:num>
  <w:num w:numId="37">
    <w:abstractNumId w:val="14"/>
  </w:num>
  <w:num w:numId="38">
    <w:abstractNumId w:val="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02695"/>
    <w:rsid w:val="000217AC"/>
    <w:rsid w:val="000262B4"/>
    <w:rsid w:val="00040684"/>
    <w:rsid w:val="00072C1E"/>
    <w:rsid w:val="00082D79"/>
    <w:rsid w:val="000E23A7"/>
    <w:rsid w:val="000E5BFB"/>
    <w:rsid w:val="000F6604"/>
    <w:rsid w:val="0010693F"/>
    <w:rsid w:val="00114472"/>
    <w:rsid w:val="00136E27"/>
    <w:rsid w:val="001550BC"/>
    <w:rsid w:val="001605B9"/>
    <w:rsid w:val="00170EC5"/>
    <w:rsid w:val="001747C1"/>
    <w:rsid w:val="00184743"/>
    <w:rsid w:val="00185652"/>
    <w:rsid w:val="00193AF2"/>
    <w:rsid w:val="001B2486"/>
    <w:rsid w:val="001C22B6"/>
    <w:rsid w:val="001D1311"/>
    <w:rsid w:val="00207DF5"/>
    <w:rsid w:val="00216C0D"/>
    <w:rsid w:val="0022656B"/>
    <w:rsid w:val="0026491B"/>
    <w:rsid w:val="00280E07"/>
    <w:rsid w:val="002B0145"/>
    <w:rsid w:val="002B37BD"/>
    <w:rsid w:val="002C31BF"/>
    <w:rsid w:val="002D08B1"/>
    <w:rsid w:val="002E0CD7"/>
    <w:rsid w:val="003146C2"/>
    <w:rsid w:val="00331BE6"/>
    <w:rsid w:val="003361D2"/>
    <w:rsid w:val="00341DCF"/>
    <w:rsid w:val="00357BC6"/>
    <w:rsid w:val="003956C6"/>
    <w:rsid w:val="003B173D"/>
    <w:rsid w:val="00441430"/>
    <w:rsid w:val="00450F07"/>
    <w:rsid w:val="00453CD3"/>
    <w:rsid w:val="00460660"/>
    <w:rsid w:val="0046162C"/>
    <w:rsid w:val="00472208"/>
    <w:rsid w:val="00486107"/>
    <w:rsid w:val="00491827"/>
    <w:rsid w:val="004951D3"/>
    <w:rsid w:val="004B348C"/>
    <w:rsid w:val="004C4399"/>
    <w:rsid w:val="004C787C"/>
    <w:rsid w:val="004E143C"/>
    <w:rsid w:val="004E3A53"/>
    <w:rsid w:val="004F20BC"/>
    <w:rsid w:val="004F4B9B"/>
    <w:rsid w:val="004F69EA"/>
    <w:rsid w:val="00506B41"/>
    <w:rsid w:val="00511AB9"/>
    <w:rsid w:val="00523EA7"/>
    <w:rsid w:val="00553375"/>
    <w:rsid w:val="00557C28"/>
    <w:rsid w:val="005736B7"/>
    <w:rsid w:val="00575E5A"/>
    <w:rsid w:val="005B3A13"/>
    <w:rsid w:val="005D7B54"/>
    <w:rsid w:val="005F1404"/>
    <w:rsid w:val="0061068E"/>
    <w:rsid w:val="00621C91"/>
    <w:rsid w:val="00660AD3"/>
    <w:rsid w:val="00677B7F"/>
    <w:rsid w:val="006A5570"/>
    <w:rsid w:val="006A689C"/>
    <w:rsid w:val="006B3D79"/>
    <w:rsid w:val="006C3BE5"/>
    <w:rsid w:val="006D7AFE"/>
    <w:rsid w:val="006E0578"/>
    <w:rsid w:val="006E21B1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9369F"/>
    <w:rsid w:val="007B570C"/>
    <w:rsid w:val="007C589B"/>
    <w:rsid w:val="007E26B5"/>
    <w:rsid w:val="007E4A6E"/>
    <w:rsid w:val="007E54EE"/>
    <w:rsid w:val="007F56A7"/>
    <w:rsid w:val="00807DD0"/>
    <w:rsid w:val="00831E56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02F8"/>
    <w:rsid w:val="00932372"/>
    <w:rsid w:val="00936091"/>
    <w:rsid w:val="00940D8A"/>
    <w:rsid w:val="00962258"/>
    <w:rsid w:val="00964607"/>
    <w:rsid w:val="0096556D"/>
    <w:rsid w:val="009678B7"/>
    <w:rsid w:val="0097791F"/>
    <w:rsid w:val="009833E1"/>
    <w:rsid w:val="009841FC"/>
    <w:rsid w:val="00992D9C"/>
    <w:rsid w:val="00996CB8"/>
    <w:rsid w:val="009B14A9"/>
    <w:rsid w:val="009B2E97"/>
    <w:rsid w:val="009E07F4"/>
    <w:rsid w:val="009F392E"/>
    <w:rsid w:val="00A1153A"/>
    <w:rsid w:val="00A30531"/>
    <w:rsid w:val="00A6177B"/>
    <w:rsid w:val="00A66136"/>
    <w:rsid w:val="00AA4CBB"/>
    <w:rsid w:val="00AA65FA"/>
    <w:rsid w:val="00AA7351"/>
    <w:rsid w:val="00AD056F"/>
    <w:rsid w:val="00AD6731"/>
    <w:rsid w:val="00AE097B"/>
    <w:rsid w:val="00AF61A8"/>
    <w:rsid w:val="00B15D0D"/>
    <w:rsid w:val="00B34FD9"/>
    <w:rsid w:val="00B37834"/>
    <w:rsid w:val="00B513EC"/>
    <w:rsid w:val="00B525AF"/>
    <w:rsid w:val="00B71E1B"/>
    <w:rsid w:val="00B75EE1"/>
    <w:rsid w:val="00B77481"/>
    <w:rsid w:val="00B8518B"/>
    <w:rsid w:val="00BD7B32"/>
    <w:rsid w:val="00BD7E91"/>
    <w:rsid w:val="00C02D0A"/>
    <w:rsid w:val="00C03A6E"/>
    <w:rsid w:val="00C129AB"/>
    <w:rsid w:val="00C44F6A"/>
    <w:rsid w:val="00C47AE3"/>
    <w:rsid w:val="00C56267"/>
    <w:rsid w:val="00C9173F"/>
    <w:rsid w:val="00CA7297"/>
    <w:rsid w:val="00CC2930"/>
    <w:rsid w:val="00CC6917"/>
    <w:rsid w:val="00CD1FC4"/>
    <w:rsid w:val="00CE09EB"/>
    <w:rsid w:val="00CE652C"/>
    <w:rsid w:val="00D06F5A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37565"/>
    <w:rsid w:val="00EB104F"/>
    <w:rsid w:val="00ED14BD"/>
    <w:rsid w:val="00EF4199"/>
    <w:rsid w:val="00F04F0E"/>
    <w:rsid w:val="00F0533E"/>
    <w:rsid w:val="00F1048D"/>
    <w:rsid w:val="00F11BE8"/>
    <w:rsid w:val="00F12192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378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78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7834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78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7834"/>
    <w:rPr>
      <w:b/>
      <w:bCs/>
      <w:color w:val="000000" w:themeColor="text1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6E21B1"/>
    <w:rPr>
      <w:color w:val="000000" w:themeColor="text1"/>
    </w:rPr>
  </w:style>
  <w:style w:type="paragraph" w:customStyle="1" w:styleId="aodst">
    <w:name w:val="a. odst."/>
    <w:basedOn w:val="Normln"/>
    <w:link w:val="aodstChar"/>
    <w:qFormat/>
    <w:rsid w:val="006E21B1"/>
    <w:pPr>
      <w:widowControl w:val="0"/>
      <w:numPr>
        <w:numId w:val="38"/>
      </w:numPr>
      <w:spacing w:before="120" w:after="120"/>
      <w:jc w:val="both"/>
    </w:pPr>
    <w:rPr>
      <w:color w:val="auto"/>
      <w:lang w:eastAsia="cs-CZ"/>
    </w:rPr>
  </w:style>
  <w:style w:type="character" w:customStyle="1" w:styleId="aodstChar">
    <w:name w:val="a. odst. Char"/>
    <w:basedOn w:val="Standardnpsmoodstavce"/>
    <w:link w:val="aodst"/>
    <w:rsid w:val="006E21B1"/>
    <w:rPr>
      <w:lang w:eastAsia="cs-CZ"/>
    </w:rPr>
  </w:style>
  <w:style w:type="paragraph" w:customStyle="1" w:styleId="pf0">
    <w:name w:val="pf0"/>
    <w:basedOn w:val="Normln"/>
    <w:rsid w:val="00930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cf01">
    <w:name w:val="cf01"/>
    <w:basedOn w:val="Standardnpsmoodstavce"/>
    <w:rsid w:val="009302F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FF6D6-726A-4B6D-8DB6-33C3AAB5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2024-10-07T11:19:00Z</dcterms:created>
  <dcterms:modified xsi:type="dcterms:W3CDTF">2024-10-14T07:29:00Z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